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B07E" w14:textId="77777777" w:rsidR="0079084D" w:rsidRPr="0079084D" w:rsidRDefault="0079084D" w:rsidP="0079084D">
      <w:pPr>
        <w:snapToGrid w:val="0"/>
        <w:spacing w:after="60"/>
        <w:rPr>
          <w:rFonts w:ascii="Calibri" w:hAnsi="Calibri" w:cs="Calibri"/>
          <w:color w:val="0000FF"/>
          <w:sz w:val="32"/>
          <w:szCs w:val="32"/>
        </w:rPr>
      </w:pPr>
      <w:r w:rsidRPr="0079084D">
        <w:rPr>
          <w:rFonts w:ascii="Calibri" w:hAnsi="Calibri" w:cs="Calibri"/>
          <w:color w:val="0000FF"/>
          <w:sz w:val="32"/>
          <w:szCs w:val="32"/>
          <w:lang w:val="en-US"/>
        </w:rPr>
        <w:t xml:space="preserve">    </w:t>
      </w:r>
      <w:r w:rsidRPr="0079084D">
        <w:rPr>
          <w:rFonts w:ascii="Calibri" w:hAnsi="Calibri" w:cs="Calibri"/>
          <w:color w:val="0000FF"/>
          <w:sz w:val="32"/>
          <w:szCs w:val="32"/>
        </w:rPr>
        <w:t xml:space="preserve">             </w:t>
      </w:r>
    </w:p>
    <w:p w14:paraId="2925CB3C" w14:textId="77777777" w:rsidR="0079084D" w:rsidRPr="0079084D" w:rsidRDefault="0079084D" w:rsidP="0079084D">
      <w:pPr>
        <w:snapToGrid w:val="0"/>
        <w:spacing w:after="60"/>
        <w:rPr>
          <w:rFonts w:ascii="Calibri" w:hAnsi="Calibri" w:cs="Calibri"/>
          <w:color w:val="0000FF"/>
          <w:lang w:val="en-US"/>
        </w:rPr>
      </w:pPr>
      <w:r w:rsidRPr="0079084D">
        <w:rPr>
          <w:rFonts w:ascii="Calibri" w:hAnsi="Calibri" w:cs="Calibri"/>
          <w:color w:val="0000FF"/>
        </w:rPr>
        <w:t xml:space="preserve">               </w:t>
      </w:r>
      <w:r w:rsidRPr="0079084D">
        <w:rPr>
          <w:rFonts w:ascii="Calibri" w:hAnsi="Calibri" w:cs="Calibri"/>
          <w:noProof/>
          <w:color w:val="0000FF"/>
        </w:rPr>
        <w:drawing>
          <wp:inline distT="0" distB="0" distL="0" distR="0" wp14:anchorId="384FB428" wp14:editId="64BF35ED">
            <wp:extent cx="450850" cy="4191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850" cy="419100"/>
                    </a:xfrm>
                    <a:prstGeom prst="rect">
                      <a:avLst/>
                    </a:prstGeom>
                    <a:solidFill>
                      <a:srgbClr val="FFFFFF"/>
                    </a:solidFill>
                    <a:ln>
                      <a:noFill/>
                    </a:ln>
                  </pic:spPr>
                </pic:pic>
              </a:graphicData>
            </a:graphic>
          </wp:inline>
        </w:drawing>
      </w:r>
    </w:p>
    <w:p w14:paraId="29F28135" w14:textId="77777777" w:rsidR="0079084D" w:rsidRPr="0079084D" w:rsidRDefault="0079084D" w:rsidP="0079084D">
      <w:pPr>
        <w:snapToGrid w:val="0"/>
        <w:spacing w:after="60"/>
        <w:rPr>
          <w:rFonts w:ascii="Calibri" w:hAnsi="Calibri" w:cs="Calibri"/>
          <w:color w:val="0000FF"/>
          <w:lang w:val="en-US"/>
        </w:rPr>
      </w:pPr>
    </w:p>
    <w:p w14:paraId="5753A1DF" w14:textId="77777777" w:rsidR="0079084D" w:rsidRPr="0079084D" w:rsidRDefault="0079084D" w:rsidP="0079084D">
      <w:pPr>
        <w:spacing w:line="220" w:lineRule="exact"/>
        <w:rPr>
          <w:rFonts w:ascii="Calibri" w:hAnsi="Calibri" w:cs="Calibri"/>
          <w:b/>
          <w:color w:val="17365D"/>
          <w:spacing w:val="-12"/>
        </w:rPr>
      </w:pPr>
      <w:r w:rsidRPr="0079084D">
        <w:rPr>
          <w:rFonts w:ascii="Calibri" w:hAnsi="Calibri" w:cs="Calibri"/>
          <w:b/>
          <w:color w:val="17365D"/>
          <w:spacing w:val="-12"/>
        </w:rPr>
        <w:t>ΕΛΛΗΝΙΚΗ ΔΗΜΟΚΡΑΤΙΑ</w:t>
      </w:r>
    </w:p>
    <w:p w14:paraId="3E75DD20" w14:textId="77777777" w:rsidR="0079084D" w:rsidRPr="0079084D" w:rsidRDefault="0079084D" w:rsidP="0079084D">
      <w:pPr>
        <w:spacing w:line="220" w:lineRule="exact"/>
        <w:rPr>
          <w:rFonts w:ascii="Calibri" w:hAnsi="Calibri" w:cs="Calibri"/>
          <w:b/>
          <w:color w:val="17365D"/>
          <w:spacing w:val="-12"/>
        </w:rPr>
      </w:pPr>
      <w:r w:rsidRPr="0079084D">
        <w:rPr>
          <w:rFonts w:ascii="Calibri" w:hAnsi="Calibri" w:cs="Calibri"/>
          <w:b/>
          <w:color w:val="17365D"/>
          <w:spacing w:val="-12"/>
        </w:rPr>
        <w:t>ΠΕΡΙΦΕΡΕΙΑ ΘΕΣΣΑΛΙΑΣ</w:t>
      </w:r>
    </w:p>
    <w:p w14:paraId="4AB0EACB" w14:textId="77777777" w:rsidR="0079084D" w:rsidRPr="0079084D" w:rsidRDefault="0079084D" w:rsidP="0079084D">
      <w:pPr>
        <w:spacing w:line="220" w:lineRule="exact"/>
        <w:rPr>
          <w:rFonts w:ascii="Calibri" w:hAnsi="Calibri" w:cs="Calibri"/>
          <w:b/>
          <w:color w:val="17365D"/>
          <w:spacing w:val="-12"/>
        </w:rPr>
      </w:pPr>
      <w:r w:rsidRPr="0079084D">
        <w:rPr>
          <w:rFonts w:ascii="Calibri" w:hAnsi="Calibri" w:cs="Calibri"/>
          <w:b/>
          <w:color w:val="17365D"/>
          <w:spacing w:val="-12"/>
        </w:rPr>
        <w:t xml:space="preserve">ΓΡΑΦΕΙΟ ΤΥΠΟΥ </w:t>
      </w:r>
    </w:p>
    <w:p w14:paraId="002C433E" w14:textId="499A3D95" w:rsidR="0079084D" w:rsidRPr="00A233EA" w:rsidRDefault="0079084D" w:rsidP="0079084D">
      <w:pPr>
        <w:spacing w:line="200" w:lineRule="exact"/>
        <w:ind w:right="-108"/>
        <w:rPr>
          <w:rFonts w:ascii="Calibri" w:hAnsi="Calibri" w:cs="Calibri"/>
          <w:color w:val="17365D"/>
          <w:spacing w:val="-20"/>
        </w:rPr>
      </w:pPr>
      <w:proofErr w:type="spellStart"/>
      <w:r w:rsidRPr="0079084D">
        <w:rPr>
          <w:rFonts w:ascii="Calibri" w:hAnsi="Calibri" w:cs="Calibri"/>
          <w:color w:val="17365D"/>
          <w:spacing w:val="-20"/>
        </w:rPr>
        <w:t>Ταχ</w:t>
      </w:r>
      <w:proofErr w:type="spellEnd"/>
      <w:r w:rsidRPr="0079084D">
        <w:rPr>
          <w:rFonts w:ascii="Calibri" w:hAnsi="Calibri" w:cs="Calibri"/>
          <w:color w:val="17365D"/>
          <w:spacing w:val="-20"/>
        </w:rPr>
        <w:t>. Δ/</w:t>
      </w:r>
      <w:proofErr w:type="spellStart"/>
      <w:r w:rsidRPr="0079084D">
        <w:rPr>
          <w:rFonts w:ascii="Calibri" w:hAnsi="Calibri" w:cs="Calibri"/>
          <w:color w:val="17365D"/>
          <w:spacing w:val="-20"/>
        </w:rPr>
        <w:t>νση</w:t>
      </w:r>
      <w:proofErr w:type="spellEnd"/>
      <w:r w:rsidRPr="0079084D">
        <w:rPr>
          <w:rFonts w:ascii="Calibri" w:hAnsi="Calibri" w:cs="Calibri"/>
          <w:color w:val="17365D"/>
          <w:spacing w:val="-20"/>
        </w:rPr>
        <w:t xml:space="preserve">: Παπαναστασίου &amp; Κουμουνδούρου                                                                                                                                                                             </w:t>
      </w:r>
      <w:r w:rsidRPr="00A233EA">
        <w:rPr>
          <w:rFonts w:ascii="Calibri" w:hAnsi="Calibri" w:cs="Calibri"/>
          <w:color w:val="17365D"/>
          <w:spacing w:val="-20"/>
        </w:rPr>
        <w:t xml:space="preserve"> </w:t>
      </w:r>
    </w:p>
    <w:p w14:paraId="3D1C5EAA" w14:textId="77777777" w:rsidR="0079084D" w:rsidRPr="0079084D" w:rsidRDefault="0079084D" w:rsidP="0079084D">
      <w:pPr>
        <w:spacing w:line="200" w:lineRule="exact"/>
        <w:ind w:right="-108"/>
        <w:rPr>
          <w:rFonts w:ascii="Calibri" w:hAnsi="Calibri" w:cs="Calibri"/>
          <w:color w:val="17365D"/>
          <w:spacing w:val="-20"/>
        </w:rPr>
      </w:pPr>
      <w:proofErr w:type="spellStart"/>
      <w:r w:rsidRPr="0079084D">
        <w:rPr>
          <w:rFonts w:ascii="Calibri" w:hAnsi="Calibri" w:cs="Calibri"/>
          <w:color w:val="17365D"/>
          <w:spacing w:val="-20"/>
        </w:rPr>
        <w:t>Τηλ</w:t>
      </w:r>
      <w:proofErr w:type="spellEnd"/>
      <w:r w:rsidRPr="0079084D">
        <w:rPr>
          <w:rFonts w:ascii="Calibri" w:hAnsi="Calibri" w:cs="Calibri"/>
          <w:color w:val="17365D"/>
          <w:spacing w:val="-20"/>
        </w:rPr>
        <w:t>: 2413506553 - 2413506556</w:t>
      </w:r>
    </w:p>
    <w:p w14:paraId="046881FF" w14:textId="0FA1B00A" w:rsidR="0079084D" w:rsidRPr="002D3F02" w:rsidRDefault="0079084D" w:rsidP="0079084D">
      <w:pPr>
        <w:spacing w:after="30" w:line="200" w:lineRule="exact"/>
        <w:ind w:right="-108"/>
        <w:rPr>
          <w:rFonts w:ascii="Calibri" w:hAnsi="Calibri" w:cs="Calibri"/>
          <w:color w:val="17365D"/>
          <w:spacing w:val="-20"/>
          <w:lang w:val="en-US"/>
        </w:rPr>
      </w:pPr>
      <w:proofErr w:type="spellStart"/>
      <w:r w:rsidRPr="0079084D">
        <w:rPr>
          <w:rFonts w:ascii="Calibri" w:hAnsi="Calibri" w:cs="Calibri"/>
          <w:color w:val="17365D"/>
          <w:spacing w:val="-20"/>
          <w:lang w:val="de-DE"/>
        </w:rPr>
        <w:t>e-mail</w:t>
      </w:r>
      <w:proofErr w:type="spellEnd"/>
      <w:r w:rsidRPr="0079084D">
        <w:rPr>
          <w:rFonts w:ascii="Calibri" w:hAnsi="Calibri" w:cs="Calibri"/>
          <w:color w:val="17365D"/>
          <w:spacing w:val="-20"/>
          <w:lang w:val="de-DE"/>
        </w:rPr>
        <w:t xml:space="preserve">: </w:t>
      </w:r>
      <w:hyperlink r:id="rId5" w:history="1">
        <w:r w:rsidRPr="0079084D">
          <w:rPr>
            <w:rStyle w:val="-"/>
            <w:rFonts w:ascii="Calibri" w:hAnsi="Calibri" w:cs="Calibri"/>
            <w:spacing w:val="-20"/>
            <w:lang w:val="de-DE"/>
          </w:rPr>
          <w:t>press@thessaly.gov.gr</w:t>
        </w:r>
      </w:hyperlink>
      <w:r w:rsidRPr="0079084D">
        <w:rPr>
          <w:rFonts w:ascii="Calibri" w:hAnsi="Calibri" w:cs="Calibri"/>
          <w:color w:val="17365D"/>
          <w:spacing w:val="-20"/>
          <w:lang w:val="de-DE"/>
        </w:rPr>
        <w:tab/>
      </w:r>
      <w:r w:rsidRPr="0079084D">
        <w:rPr>
          <w:rFonts w:ascii="Calibri" w:hAnsi="Calibri" w:cs="Calibri"/>
          <w:color w:val="17365D"/>
          <w:spacing w:val="-20"/>
          <w:lang w:val="de-DE"/>
        </w:rPr>
        <w:tab/>
      </w:r>
      <w:r w:rsidRPr="0079084D">
        <w:rPr>
          <w:rFonts w:ascii="Calibri" w:hAnsi="Calibri" w:cs="Calibri"/>
          <w:color w:val="17365D"/>
          <w:spacing w:val="-20"/>
          <w:lang w:val="de-DE"/>
        </w:rPr>
        <w:tab/>
      </w:r>
      <w:r w:rsidRPr="0079084D">
        <w:rPr>
          <w:rFonts w:ascii="Calibri" w:hAnsi="Calibri" w:cs="Calibri"/>
          <w:color w:val="17365D"/>
          <w:spacing w:val="-20"/>
          <w:lang w:val="de-DE"/>
        </w:rPr>
        <w:tab/>
      </w:r>
      <w:r w:rsidRPr="0079084D">
        <w:rPr>
          <w:rFonts w:ascii="Calibri" w:hAnsi="Calibri" w:cs="Calibri"/>
          <w:color w:val="17365D"/>
          <w:spacing w:val="-20"/>
          <w:lang w:val="de-DE"/>
        </w:rPr>
        <w:tab/>
      </w:r>
      <w:r w:rsidRPr="0079084D">
        <w:rPr>
          <w:rFonts w:ascii="Calibri" w:hAnsi="Calibri" w:cs="Calibri"/>
          <w:color w:val="17365D"/>
          <w:spacing w:val="-20"/>
          <w:lang w:val="de-DE"/>
        </w:rPr>
        <w:tab/>
      </w:r>
      <w:r>
        <w:rPr>
          <w:rFonts w:ascii="Calibri" w:hAnsi="Calibri" w:cs="Calibri"/>
          <w:color w:val="17365D"/>
          <w:spacing w:val="-20"/>
        </w:rPr>
        <w:t>Λάρισα</w:t>
      </w:r>
      <w:r w:rsidRPr="0079084D">
        <w:rPr>
          <w:rFonts w:ascii="Calibri" w:hAnsi="Calibri" w:cs="Calibri"/>
          <w:color w:val="17365D"/>
          <w:spacing w:val="-20"/>
          <w:lang w:val="de-DE"/>
        </w:rPr>
        <w:tab/>
      </w:r>
      <w:r w:rsidR="002D3F02" w:rsidRPr="002D3F02">
        <w:rPr>
          <w:rFonts w:ascii="Calibri" w:hAnsi="Calibri" w:cs="Calibri"/>
          <w:color w:val="17365D"/>
          <w:spacing w:val="-20"/>
          <w:lang w:val="en-US"/>
        </w:rPr>
        <w:t>20-10-2025</w:t>
      </w:r>
    </w:p>
    <w:p w14:paraId="4CF1ED7B" w14:textId="72777565" w:rsidR="00AA1E82" w:rsidRDefault="00AA1E82">
      <w:pPr>
        <w:rPr>
          <w:lang w:val="de-DE"/>
        </w:rPr>
      </w:pPr>
    </w:p>
    <w:p w14:paraId="6BDFAA1C" w14:textId="7E8DEF47" w:rsidR="005A636C" w:rsidRDefault="005A636C">
      <w:pPr>
        <w:rPr>
          <w:lang w:val="de-DE"/>
        </w:rPr>
      </w:pPr>
    </w:p>
    <w:p w14:paraId="2621616B" w14:textId="69A30BA1" w:rsidR="005A636C" w:rsidRDefault="005A636C">
      <w:pPr>
        <w:rPr>
          <w:lang w:val="de-DE"/>
        </w:rPr>
      </w:pPr>
    </w:p>
    <w:p w14:paraId="2F01FD73" w14:textId="3E9B4CAF" w:rsidR="005A636C" w:rsidRPr="002D3F02" w:rsidRDefault="005A636C">
      <w:pPr>
        <w:rPr>
          <w:b/>
          <w:bCs/>
          <w:lang w:val="en-US"/>
        </w:rPr>
      </w:pPr>
      <w:r>
        <w:rPr>
          <w:lang w:val="de-DE"/>
        </w:rPr>
        <w:tab/>
      </w:r>
      <w:r>
        <w:rPr>
          <w:lang w:val="de-DE"/>
        </w:rPr>
        <w:tab/>
      </w:r>
      <w:r>
        <w:rPr>
          <w:lang w:val="de-DE"/>
        </w:rPr>
        <w:tab/>
      </w:r>
      <w:r>
        <w:rPr>
          <w:lang w:val="de-DE"/>
        </w:rPr>
        <w:tab/>
      </w:r>
      <w:r>
        <w:rPr>
          <w:lang w:val="de-DE"/>
        </w:rPr>
        <w:tab/>
      </w:r>
    </w:p>
    <w:p w14:paraId="7B5DAA12" w14:textId="6DD782D9" w:rsidR="003074AF" w:rsidRDefault="002D3F02" w:rsidP="003074AF">
      <w:pPr>
        <w:jc w:val="center"/>
        <w:rPr>
          <w:b/>
          <w:bCs/>
        </w:rPr>
      </w:pPr>
      <w:r>
        <w:rPr>
          <w:b/>
          <w:bCs/>
        </w:rPr>
        <w:t xml:space="preserve">Η </w:t>
      </w:r>
      <w:r w:rsidR="003074AF">
        <w:rPr>
          <w:b/>
          <w:bCs/>
        </w:rPr>
        <w:t xml:space="preserve">ΑΠΑΝΤΗΣΗ </w:t>
      </w:r>
      <w:r w:rsidR="003074AF" w:rsidRPr="003074AF">
        <w:rPr>
          <w:b/>
          <w:bCs/>
        </w:rPr>
        <w:t>ΠΑΡΑΓΟΝΤ</w:t>
      </w:r>
      <w:r w:rsidR="003074AF">
        <w:rPr>
          <w:b/>
          <w:bCs/>
        </w:rPr>
        <w:t xml:space="preserve">ΩΝ </w:t>
      </w:r>
      <w:r w:rsidR="003074AF" w:rsidRPr="003074AF">
        <w:rPr>
          <w:b/>
          <w:bCs/>
        </w:rPr>
        <w:t xml:space="preserve">ΤΗΣ ΚΟΜΙΣΙΟΝ </w:t>
      </w:r>
      <w:r w:rsidR="003074AF">
        <w:rPr>
          <w:b/>
          <w:bCs/>
        </w:rPr>
        <w:t xml:space="preserve">ΜΕΤΑ ΤΗΝ ΣΧΕΤΙΚΗ </w:t>
      </w:r>
      <w:r>
        <w:rPr>
          <w:b/>
          <w:bCs/>
        </w:rPr>
        <w:t>ΑΛΛΗΛΟΓΡΑΦΙΑ ΤΗΣ ΠΕΡΙΦΕΡΕΙΑΣ ΘΕΣΣΑΛΙΑΣ</w:t>
      </w:r>
      <w:r w:rsidR="003074AF">
        <w:rPr>
          <w:b/>
          <w:bCs/>
        </w:rPr>
        <w:t xml:space="preserve"> </w:t>
      </w:r>
      <w:r>
        <w:rPr>
          <w:b/>
          <w:bCs/>
        </w:rPr>
        <w:t>ΑΝΑΦΟΡΙΚΑ ΜΕ ΤΑ ΕΜΒΟΛΙΑ</w:t>
      </w:r>
    </w:p>
    <w:p w14:paraId="435CBC66" w14:textId="77777777" w:rsidR="00383E41" w:rsidRDefault="00383E41" w:rsidP="00383E41"/>
    <w:p w14:paraId="78F62040" w14:textId="6A406482" w:rsidR="00383E41" w:rsidRDefault="00383E41" w:rsidP="00383E41">
      <w:r>
        <w:t>Τα μέτρα ελέγχου για την ευλογιά των προβάτων και των αιγών (SGP) καθορίζονται στον Κανονισμό (ΕΕ) 2016/429 και στον Εκτελεστικό Κανονισμό (ΕΕ) 2020/687, και περιλαμβάνουν τη θανάτωση όλων των ζώων στις πληγείσες εκμεταλλεύσεις και την καθιέρωση ζωνών περιορισμού γύρω από τα σημεία όπου εκδηλώνονται τα κρούσματα.</w:t>
      </w:r>
    </w:p>
    <w:p w14:paraId="5AECD6DA" w14:textId="77777777" w:rsidR="00383E41" w:rsidRDefault="00383E41" w:rsidP="00383E41">
      <w:r>
        <w:t>Ο εμβολιασμός μπορεί να χρησιμοποιηθεί ως πρόσθετο μέτρο, σύμφωνα με τον Κατ' Εξουσιοδότηση Κανονισμό (ΕΕ) 2023/361.</w:t>
      </w:r>
    </w:p>
    <w:p w14:paraId="244438D8" w14:textId="77777777" w:rsidR="00383E41" w:rsidRDefault="00383E41" w:rsidP="00383E41">
      <w:r>
        <w:t>Τα κόστη ορισμένων μέτρων ελέγχου ασθενειών είναι επιλέξιμα για συγχρηματοδότηση από την ΕΕ έως και 30% των επιλέξιμων δαπανών, σύμφωνα με τον Κανονισμό (ΕΚ) αριθ. 2021/690 και την Εκτελεστική Απόφαση της Επιτροπής (C2023) 8926.</w:t>
      </w:r>
    </w:p>
    <w:p w14:paraId="21BC5AEA" w14:textId="77777777" w:rsidR="00383E41" w:rsidRDefault="00383E41" w:rsidP="00383E41">
      <w:r>
        <w:t>Η χρηματοδοτική στήριξη της ΕΕ για την επιτήρηση της ευλογιάς προβάτων και αιγών (SGP) είναι επίσης διαθέσιμη σε περιοχές υψηλού κινδύνου μέσω δύο συγχρηματοδοτούμενων προγραμμάτων (</w:t>
      </w:r>
      <w:proofErr w:type="spellStart"/>
      <w:r>
        <w:t>TADs</w:t>
      </w:r>
      <w:proofErr w:type="spellEnd"/>
      <w:r>
        <w:t xml:space="preserve"> και Θράκη).</w:t>
      </w:r>
    </w:p>
    <w:p w14:paraId="46AC44C6" w14:textId="77777777" w:rsidR="00383E41" w:rsidRDefault="00383E41" w:rsidP="00383E41">
      <w:r>
        <w:t>Η τράπεζα εμβολίων SGP της ΕΕ μπορεί να αποστείλει έως και 500.000 δόσεις εμβολίου δωρεάν (δεν έχει ληφθεί αίτημα από την Ελλάδα έως σήμερα).</w:t>
      </w:r>
    </w:p>
    <w:p w14:paraId="165743B2" w14:textId="77777777" w:rsidR="00383E41" w:rsidRDefault="00383E41" w:rsidP="00383E41">
      <w:r>
        <w:t xml:space="preserve">Μπορεί να χορηγηθεί έκτακτη στήριξη, κατόπιν αιτήματος του ενδιαφερόμενου κράτους μέλους, για την αντιμετώπιση των επιπτώσεων από περιορισμούς στις </w:t>
      </w:r>
      <w:proofErr w:type="spellStart"/>
      <w:r>
        <w:t>ενδοενωσιακές</w:t>
      </w:r>
      <w:proofErr w:type="spellEnd"/>
      <w:r>
        <w:t xml:space="preserve"> και τρίτων χωρών συναλλαγές, που προκύπτουν από τα μέτρα πρόληψης και καταπολέμησης της εξάπλωσης ασθενειών στα ζώα.</w:t>
      </w:r>
    </w:p>
    <w:p w14:paraId="643018A6" w14:textId="77777777" w:rsidR="00383E41" w:rsidRDefault="00383E41" w:rsidP="00383E41">
      <w:r>
        <w:t>Η στήριξη αυτή θα κάλυπτε απώλειες αγοράς που υπέστησαν αγρότες σε περιοχή υπό μέτρα περιορισμού κινήσεων, αλλά όχι σε μολυσμένη εκμετάλλευση (δεν έχει ληφθεί σχετικό αίτημα από την Ελλάδα).</w:t>
      </w:r>
    </w:p>
    <w:p w14:paraId="2FE6BEC0" w14:textId="77777777" w:rsidR="00383E41" w:rsidRDefault="00383E41" w:rsidP="00383E41">
      <w:r>
        <w:t>Η στήριξη μπορεί να δοθεί μέσω του Ελληνικού Προγράμματος Αγροτικής Ανάπτυξης 2014–2022 και του Στρατηγικού Σχεδίου της Κοινής Αγροτικής Πολιτικής (ΚΑΠ) 2023–2027, με στόχο τη βελτίωση της ανθεκτικότητας του γεωργικού τομέα έναντι καταστροφικών γεγονότων.</w:t>
      </w:r>
    </w:p>
    <w:p w14:paraId="666EAC36" w14:textId="77777777" w:rsidR="00383E41" w:rsidRDefault="00383E41" w:rsidP="00383E41">
      <w:r>
        <w:t>Το Μέτρο 23 (M23) παρέχει στήριξη ρευστότητας σε εκμεταλλεύσεις που υφίστανται απώλεια 30% της παραγωγής ή του δυναμικού παραγωγής, συμπεριλαμβανομένων περιπτώσεων ασθενειών των ζώων.</w:t>
      </w:r>
    </w:p>
    <w:p w14:paraId="0574BB41" w14:textId="3E0C9003" w:rsidR="00383E41" w:rsidRDefault="00383E41" w:rsidP="00383E41">
      <w:r>
        <w:t>Εναπόκειται στις αρμόδιες διαχειριστικές αρχές να κατανείμουν τη χρηματοδότηση για τέτοιες παρεμβάσεις</w:t>
      </w:r>
      <w:r>
        <w:t xml:space="preserve">. </w:t>
      </w:r>
    </w:p>
    <w:p w14:paraId="0BFDDBCA" w14:textId="24E585B0" w:rsidR="00A80640" w:rsidRPr="00383E41" w:rsidRDefault="00A80640" w:rsidP="00383E41"/>
    <w:sectPr w:rsidR="00A80640" w:rsidRPr="00383E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4D"/>
    <w:rsid w:val="000255CB"/>
    <w:rsid w:val="001423A1"/>
    <w:rsid w:val="002D3F02"/>
    <w:rsid w:val="003074AF"/>
    <w:rsid w:val="00383E41"/>
    <w:rsid w:val="004E5C07"/>
    <w:rsid w:val="00520A46"/>
    <w:rsid w:val="00551F62"/>
    <w:rsid w:val="005A636C"/>
    <w:rsid w:val="0079084D"/>
    <w:rsid w:val="00A233EA"/>
    <w:rsid w:val="00A80640"/>
    <w:rsid w:val="00AA1E82"/>
    <w:rsid w:val="00DA29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81B9"/>
  <w15:chartTrackingRefBased/>
  <w15:docId w15:val="{B28A10D0-31B4-47C8-96F4-0E862258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84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9084D"/>
    <w:rPr>
      <w:color w:val="0563C1" w:themeColor="hyperlink"/>
      <w:u w:val="single"/>
    </w:rPr>
  </w:style>
  <w:style w:type="character" w:styleId="a3">
    <w:name w:val="Unresolved Mention"/>
    <w:basedOn w:val="a0"/>
    <w:uiPriority w:val="99"/>
    <w:semiHidden/>
    <w:unhideWhenUsed/>
    <w:rsid w:val="00790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thessaly.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2176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Rou</dc:creator>
  <cp:keywords/>
  <dc:description/>
  <cp:lastModifiedBy>Geo Rou</cp:lastModifiedBy>
  <cp:revision>2</cp:revision>
  <dcterms:created xsi:type="dcterms:W3CDTF">2025-10-20T13:18:00Z</dcterms:created>
  <dcterms:modified xsi:type="dcterms:W3CDTF">2025-10-20T13:18:00Z</dcterms:modified>
</cp:coreProperties>
</file>